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 xml:space="preserve">Termeni </w:t>
      </w:r>
      <w:proofErr w:type="spellStart"/>
      <w:r w:rsidRPr="00966C80">
        <w:rPr>
          <w:rFonts w:cstheme="minorHAnsi"/>
          <w:b/>
          <w:u w:val="single"/>
        </w:rPr>
        <w:t>şi</w:t>
      </w:r>
      <w:proofErr w:type="spellEnd"/>
      <w:r w:rsidRPr="00966C80">
        <w:rPr>
          <w:rFonts w:cstheme="minorHAnsi"/>
          <w:b/>
          <w:u w:val="single"/>
        </w:rPr>
        <w:t xml:space="preserve"> </w:t>
      </w:r>
      <w:proofErr w:type="spellStart"/>
      <w:r w:rsidRPr="00966C80">
        <w:rPr>
          <w:rFonts w:cstheme="minorHAnsi"/>
          <w:b/>
          <w:u w:val="single"/>
        </w:rPr>
        <w:t>Condiţii</w:t>
      </w:r>
      <w:proofErr w:type="spellEnd"/>
      <w:r w:rsidRPr="00966C80">
        <w:rPr>
          <w:rFonts w:cstheme="minorHAnsi"/>
          <w:b/>
          <w:u w:val="single"/>
        </w:rPr>
        <w:t xml:space="preserve">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278B21BF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„Termometru cu infraroșu până la 1600°C”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</w:t>
      </w:r>
      <w:r w:rsidR="00744B10">
        <w:rPr>
          <w:rFonts w:eastAsia="Times New Roman" w:cstheme="minorHAnsi"/>
          <w:b/>
          <w:szCs w:val="20"/>
        </w:rPr>
        <w:t>36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Preţ</w:t>
      </w:r>
      <w:proofErr w:type="spellEnd"/>
      <w:r w:rsidRPr="00966C80">
        <w:rPr>
          <w:rFonts w:cstheme="minorHAnsi"/>
          <w:b/>
          <w:u w:val="single"/>
        </w:rPr>
        <w:t xml:space="preserve"> fix:</w:t>
      </w:r>
      <w:r w:rsidRPr="00966C80">
        <w:rPr>
          <w:rFonts w:cstheme="minorHAnsi"/>
          <w:b/>
        </w:rPr>
        <w:t xml:space="preserve">  </w:t>
      </w:r>
      <w:proofErr w:type="spellStart"/>
      <w:r w:rsidRPr="00966C80">
        <w:rPr>
          <w:rFonts w:cstheme="minorHAnsi"/>
        </w:rPr>
        <w:t>Preţul</w:t>
      </w:r>
      <w:proofErr w:type="spellEnd"/>
      <w:r w:rsidRPr="00966C80">
        <w:rPr>
          <w:rFonts w:cstheme="minorHAnsi"/>
        </w:rPr>
        <w:t xml:space="preserve"> indicat mai sus este ferm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fix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 indicată, pe baza facturii Furnizorului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a procesului - verbal de </w:t>
      </w:r>
      <w:proofErr w:type="spellStart"/>
      <w:r w:rsidRPr="00966C80">
        <w:rPr>
          <w:rFonts w:cstheme="minorHAnsi"/>
        </w:rPr>
        <w:t>recepţie</w:t>
      </w:r>
      <w:proofErr w:type="spellEnd"/>
      <w:r w:rsidRPr="00966C80">
        <w:rPr>
          <w:rFonts w:cstheme="minorHAnsi"/>
        </w:rPr>
        <w:t xml:space="preserve">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Garanţie</w:t>
      </w:r>
      <w:proofErr w:type="spellEnd"/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 xml:space="preserve">Bunurile oferite vor fi acoperite de </w:t>
      </w:r>
      <w:proofErr w:type="spellStart"/>
      <w:r w:rsidRPr="00966C80">
        <w:rPr>
          <w:rFonts w:cstheme="minorHAnsi"/>
        </w:rPr>
        <w:t>garanţia</w:t>
      </w:r>
      <w:proofErr w:type="spellEnd"/>
      <w:r w:rsidRPr="00966C80">
        <w:rPr>
          <w:rFonts w:cstheme="minorHAnsi"/>
        </w:rPr>
        <w:t xml:space="preserve"> producătorului cel </w:t>
      </w:r>
      <w:proofErr w:type="spellStart"/>
      <w:r w:rsidRPr="00966C80">
        <w:rPr>
          <w:rFonts w:cstheme="minorHAnsi"/>
        </w:rPr>
        <w:t>puţin</w:t>
      </w:r>
      <w:proofErr w:type="spellEnd"/>
      <w:r w:rsidRPr="00966C80">
        <w:rPr>
          <w:rFonts w:cstheme="minorHAnsi"/>
        </w:rPr>
        <w:t xml:space="preserve"> 1 an de la data livrării către Beneficiar. Vă rugăm să </w:t>
      </w:r>
      <w:proofErr w:type="spellStart"/>
      <w:r w:rsidRPr="00966C80">
        <w:rPr>
          <w:rFonts w:cstheme="minorHAnsi"/>
        </w:rPr>
        <w:t>menţionaţi</w:t>
      </w:r>
      <w:proofErr w:type="spellEnd"/>
      <w:r w:rsidRPr="00966C80">
        <w:rPr>
          <w:rFonts w:cstheme="minorHAnsi"/>
        </w:rPr>
        <w:t xml:space="preserve"> perioada de </w:t>
      </w:r>
      <w:proofErr w:type="spellStart"/>
      <w:r w:rsidRPr="00966C80">
        <w:rPr>
          <w:rFonts w:cstheme="minorHAnsi"/>
        </w:rPr>
        <w:t>garanţie</w:t>
      </w:r>
      <w:proofErr w:type="spellEnd"/>
      <w:r w:rsidRPr="00966C80">
        <w:rPr>
          <w:rFonts w:cstheme="minorHAnsi"/>
        </w:rPr>
        <w:t xml:space="preserve">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termenii </w:t>
      </w:r>
      <w:proofErr w:type="spellStart"/>
      <w:r w:rsidRPr="00966C80">
        <w:rPr>
          <w:rFonts w:cstheme="minorHAnsi"/>
        </w:rPr>
        <w:t>garanţiei</w:t>
      </w:r>
      <w:proofErr w:type="spellEnd"/>
      <w:r w:rsidRPr="00966C80">
        <w:rPr>
          <w:rFonts w:cstheme="minorHAnsi"/>
        </w:rPr>
        <w:t>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Instrucţiuni</w:t>
      </w:r>
      <w:proofErr w:type="spellEnd"/>
      <w:r w:rsidRPr="00966C80">
        <w:rPr>
          <w:rFonts w:cstheme="minorHAnsi"/>
          <w:b/>
          <w:u w:val="single"/>
        </w:rPr>
        <w:t xml:space="preserve">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Specificaţii</w:t>
      </w:r>
      <w:proofErr w:type="spellEnd"/>
      <w:r w:rsidRPr="00966C80">
        <w:rPr>
          <w:rFonts w:cstheme="minorHAnsi"/>
          <w:b/>
          <w:u w:val="single"/>
        </w:rPr>
        <w:t xml:space="preserve">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7D8AEEF2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proofErr w:type="spellStart"/>
            <w:r w:rsidRPr="00D34F4B">
              <w:rPr>
                <w:rFonts w:ascii="Calibri" w:hAnsi="Calibri"/>
                <w:sz w:val="22"/>
                <w:szCs w:val="22"/>
              </w:rPr>
              <w:t>Termometru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 xml:space="preserve"> cu </w:t>
            </w:r>
            <w:proofErr w:type="spellStart"/>
            <w:r w:rsidRPr="00D34F4B">
              <w:rPr>
                <w:rFonts w:ascii="Calibri" w:hAnsi="Calibri"/>
                <w:sz w:val="22"/>
                <w:szCs w:val="22"/>
              </w:rPr>
              <w:t>infraroșu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34F4B">
              <w:rPr>
                <w:rFonts w:ascii="Calibri" w:hAnsi="Calibri"/>
                <w:sz w:val="22"/>
                <w:szCs w:val="22"/>
              </w:rPr>
              <w:t>până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 xml:space="preserve"> la 1600°C”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2C3909AB" w:rsidR="00966C80" w:rsidRPr="0061638D" w:rsidRDefault="00744B10" w:rsidP="0086052D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Termometru cu infraroșu non-contact, cu domeniu de măsurare al temperaturii până la (minimum) 1600°C, cu sondă tip K, trepied, </w:t>
            </w:r>
            <w:r w:rsidRPr="00DB79E7">
              <w:rPr>
                <w:rFonts w:cs="Calibri"/>
              </w:rPr>
              <w:t>USB</w:t>
            </w:r>
            <w:r>
              <w:rPr>
                <w:rFonts w:cs="Calibri"/>
              </w:rPr>
              <w:t xml:space="preserve"> pentru</w:t>
            </w:r>
            <w:r w:rsidRPr="00DB79E7">
              <w:rPr>
                <w:rFonts w:cs="Calibri"/>
              </w:rPr>
              <w:t xml:space="preserve"> transfer</w:t>
            </w:r>
            <w:r>
              <w:rPr>
                <w:rFonts w:cs="Calibri"/>
              </w:rPr>
              <w:t xml:space="preserve"> date</w:t>
            </w:r>
            <w:r w:rsidRPr="00DB79E7">
              <w:rPr>
                <w:rFonts w:cs="Calibri"/>
              </w:rPr>
              <w:t xml:space="preserve"> la PC</w:t>
            </w:r>
            <w:r>
              <w:rPr>
                <w:rFonts w:cs="Calibri"/>
              </w:rPr>
              <w:t xml:space="preserve"> și </w:t>
            </w:r>
            <w:r w:rsidRPr="00DB79E7">
              <w:rPr>
                <w:rFonts w:cs="Calibri"/>
              </w:rPr>
              <w:t>înregistrarea asistată prin software a seriilor de măsurători</w:t>
            </w:r>
            <w:r>
              <w:rPr>
                <w:rFonts w:cs="Calibri"/>
              </w:rPr>
              <w:t xml:space="preserve">. </w:t>
            </w:r>
            <w:r w:rsidRPr="006F3260">
              <w:rPr>
                <w:rFonts w:cs="Calibri"/>
              </w:rPr>
              <w:t xml:space="preserve">Laserul </w:t>
            </w:r>
            <w:r>
              <w:rPr>
                <w:rFonts w:cs="Calibri"/>
              </w:rPr>
              <w:t>multipunct</w:t>
            </w:r>
            <w:r w:rsidRPr="006F3260">
              <w:rPr>
                <w:rFonts w:cs="Calibri"/>
              </w:rPr>
              <w:t xml:space="preserve"> permite marcarea exactă a zonei </w:t>
            </w:r>
            <w:r>
              <w:rPr>
                <w:rFonts w:cs="Calibri"/>
              </w:rPr>
              <w:t xml:space="preserve">centrale și a zonei marginale măsurate, </w:t>
            </w:r>
            <w:r w:rsidRPr="006F3260">
              <w:rPr>
                <w:rFonts w:cs="Calibri"/>
              </w:rPr>
              <w:t>pentru mai mută precizie. Funcțiile aparatului permit utilizarea acestuia în diverse domenii de activitate, precum service, construcții, în domeniul instalațiilor electrice, încălzire și climatizare.</w:t>
            </w:r>
            <w:r>
              <w:rPr>
                <w:rFonts w:cs="Calibri"/>
              </w:rPr>
              <w:t xml:space="preserve"> Posibilitate de fixare pe trepied pentru măsurători de lungă durată, alimentare  și achiziție de date în format electronic.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Parametrii de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Funcţionare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7828" w14:textId="77777777" w:rsidR="003A364C" w:rsidRDefault="003A364C" w:rsidP="00966C80">
      <w:pPr>
        <w:spacing w:after="0" w:line="240" w:lineRule="auto"/>
      </w:pPr>
      <w:r>
        <w:separator/>
      </w:r>
    </w:p>
  </w:endnote>
  <w:endnote w:type="continuationSeparator" w:id="0">
    <w:p w14:paraId="6BA846FA" w14:textId="77777777" w:rsidR="003A364C" w:rsidRDefault="003A364C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B4CA" w14:textId="77777777" w:rsidR="003A364C" w:rsidRDefault="003A364C" w:rsidP="00966C80">
      <w:pPr>
        <w:spacing w:after="0" w:line="240" w:lineRule="auto"/>
      </w:pPr>
      <w:r>
        <w:separator/>
      </w:r>
    </w:p>
  </w:footnote>
  <w:footnote w:type="continuationSeparator" w:id="0">
    <w:p w14:paraId="103C1AC1" w14:textId="77777777" w:rsidR="003A364C" w:rsidRDefault="003A364C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 xml:space="preserve">B -  </w:t>
      </w:r>
      <w:proofErr w:type="spellStart"/>
      <w:r w:rsidRPr="00CB44CF">
        <w:rPr>
          <w:i/>
          <w:sz w:val="20"/>
        </w:rPr>
        <w:t>şi</w:t>
      </w:r>
      <w:proofErr w:type="spellEnd"/>
      <w:r w:rsidRPr="00CB44CF">
        <w:rPr>
          <w:i/>
          <w:sz w:val="20"/>
        </w:rPr>
        <w:t xml:space="preserve">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65C8"/>
    <w:rsid w:val="000A2DE7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A364C"/>
    <w:rsid w:val="003B5BDF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44B10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C105C"/>
    <w:rsid w:val="00E72E1A"/>
    <w:rsid w:val="00E74E25"/>
    <w:rsid w:val="00EC7771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8</cp:revision>
  <cp:lastPrinted>2019-06-25T13:00:00Z</cp:lastPrinted>
  <dcterms:created xsi:type="dcterms:W3CDTF">2019-06-25T13:00:00Z</dcterms:created>
  <dcterms:modified xsi:type="dcterms:W3CDTF">2023-05-30T13:10:00Z</dcterms:modified>
</cp:coreProperties>
</file>